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901700</wp:posOffset>
            </wp:positionH>
            <wp:positionV relativeFrom="page">
              <wp:posOffset>184150</wp:posOffset>
            </wp:positionV>
            <wp:extent cx="1149350" cy="1016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Nota de prensa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center"/>
        <w:ind w:righ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494D69"/>
        </w:rPr>
        <w:t>Valoración de PIMEC sobre los datos de paro del mes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righ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494D69"/>
        </w:rPr>
        <w:t>de marzo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260" w:right="16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Barcelona, ​​2 de abril de 2020</w:t>
      </w:r>
      <w:r>
        <w:rPr>
          <w:rFonts w:ascii="Arial" w:cs="Arial" w:eastAsia="Arial" w:hAnsi="Arial"/>
          <w:sz w:val="22"/>
          <w:szCs w:val="22"/>
          <w:color w:val="auto"/>
        </w:rPr>
        <w:t>. Teniendo en cuenta los datos relativos al paro registrado publicadas por el Servicio Público de Empleo Estatal ya la afiliación media publicadas por el Ministerio de Trabajo, Migraciones y Seguridad Social, PIMEC destaca: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jc w:val="both"/>
        <w:ind w:left="620" w:right="1660" w:hanging="360"/>
        <w:spacing w:after="0" w:line="236" w:lineRule="auto"/>
        <w:tabs>
          <w:tab w:leader="none" w:pos="6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El mes de marzo cierra con 417.047 personas inscritas en los registros del paro en Cataluña y 3.548.312 en España, lo que supone un aumento en relación al año anterior de +21.307 y +293.228 personas, respectivamente.</w:t>
      </w:r>
    </w:p>
    <w:p>
      <w:pPr>
        <w:spacing w:after="0" w:line="2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620" w:right="1660" w:hanging="360"/>
        <w:spacing w:after="0" w:line="239" w:lineRule="auto"/>
        <w:tabs>
          <w:tab w:leader="none" w:pos="6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Los efectos de la crisis del Covidien-19 se reflejan en el aumento del número de personas paradas. Así, en marzo, el paro aumenta en términos interanuales de un 5,4% en Cataluña y de forma mucho más severa en España (+ 9,0%). A partir de los datos sectoriales, la entidad destaca el hecho de que este aumento del número de parados, en términos interanuales en Cataluña, es muy elevado a los servicios (+ 7,8%), la construcción (+ 5,1% ) y, no tanto en la industria (3,2%). Por su parte, el paro se reduce a la agricultura (-7,4%) y los sin empleo anterior (-11,0%). El paro aumenta en todas las demarcaciones, + 8,2% en Tarragona, + 5,8% en Barcelona, ​​+ 3,0% en Girona y + 2,1% en Lleida.</w:t>
      </w:r>
    </w:p>
    <w:p>
      <w:pPr>
        <w:spacing w:after="0" w:line="2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620" w:right="1660" w:hanging="360"/>
        <w:spacing w:after="0" w:line="238" w:lineRule="auto"/>
        <w:tabs>
          <w:tab w:leader="none" w:pos="6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 relación al mes anterior, en Cataluña el paro aumenta en 21.833 personas (+ 5,5%), y en España de forma más intensa, donde aumenta en +302.265 personas (+ 9,3%). En Cataluña, este incremento del número de personas inscritas en los registros de los servicios de empleo es desigual en función del sector. Así, los parados de la construcción y de los servicios aumentan de forma muy intensa (+ 8,6% y + 6,1%, respectivamente), algo menos los de la industria (+ 3,8%) y prácticamente nada los del primario y los sin empleo anterior. Por demarcaciones, el paro aumenta de forma más intensa en Tarragona y Barcelona y menos en Girona y Lleida.</w:t>
      </w:r>
    </w:p>
    <w:p>
      <w:pPr>
        <w:spacing w:after="0" w:line="3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620" w:right="1660" w:hanging="360"/>
        <w:spacing w:after="0" w:line="236" w:lineRule="auto"/>
        <w:tabs>
          <w:tab w:leader="none" w:pos="6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Esta dinámica del paro registrado se superpone con caídas de la afiliación en términos interanuales en Cataluña (-0,3%) y en España (-0,2%) y de forma más intensa en relación al mes anterior, -1, 2% en Cataluña y -1,3% en España.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both"/>
        <w:ind w:left="260" w:right="16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Teniendo en cuenta que los trabajadores afectados por ERTE no se contabilizan como ocupados, todo apunta, que las empresas catalanas, como vía para ajustarse a la situación de crisis, están utilizando de forma prioritaria este instrumento temporal frente a la vía de la extinción definitiva de los contratos.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jc w:val="both"/>
        <w:ind w:left="260" w:right="16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Para salir de esta situación y dar cobertura a la continuidad empresarial, pide a las administraciones una amplia cobertura para facilitar la liquidez a las pymes, autónomos, pequeño comercio, ... tales como aplazamientos en el pago de impuestos y cotizaciones sociales.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Por otra parte, PIMEC quiere destacar la necesidad de formación, se de incremento del paro, decomiso illoramesurade la empleabilidad. Después de que de Educación anunciara ayer el recorte a cero de las políticas de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60" w:right="1660"/>
        <w:spacing w:after="0" w:line="235" w:lineRule="auto"/>
        <w:tabs>
          <w:tab w:leader="none" w:pos="65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el empleo, PIMECincrementardemanael financiación para las políticas de formación.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Afiliación total a la Seguridad</w:t>
            </w:r>
          </w:p>
        </w:tc>
        <w:tc>
          <w:tcPr>
            <w:tcW w:w="23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Cataluña Barcelona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Girona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Lleida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Tarragona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España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500" w:type="dxa"/>
            <w:vAlign w:val="bottom"/>
            <w:vMerge w:val="restart"/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social</w:t>
            </w: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500" w:type="dxa"/>
            <w:vAlign w:val="bottom"/>
            <w:tcBorders>
              <w:bottom w:val="single" w:sz="8" w:color="8EAADB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Departamento de Comunicación</w:t>
      </w:r>
    </w:p>
    <w:p>
      <w:pPr>
        <w:ind w:left="260"/>
        <w:spacing w:after="0"/>
        <w:rPr>
          <w:rFonts w:ascii="Arial" w:cs="Arial" w:eastAsia="Arial" w:hAnsi="Arial"/>
          <w:sz w:val="18"/>
          <w:szCs w:val="18"/>
          <w:u w:val="single" w:color="auto"/>
          <w:color w:val="E36C0A"/>
        </w:rPr>
      </w:pPr>
      <w:hyperlink r:id="rId9">
        <w:r>
          <w:rPr>
            <w:rFonts w:ascii="Arial" w:cs="Arial" w:eastAsia="Arial" w:hAnsi="Arial"/>
            <w:sz w:val="18"/>
            <w:szCs w:val="18"/>
            <w:u w:val="single" w:color="auto"/>
            <w:color w:val="E36C0A"/>
          </w:rPr>
          <w:t>premsa@pimec.org</w:t>
        </w:r>
      </w:hyperlink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93 496 45 11</w:t>
      </w:r>
    </w:p>
    <w:p>
      <w:pPr>
        <w:sectPr>
          <w:pgSz w:w="11900" w:h="16838" w:orient="portrait"/>
          <w:cols w:equalWidth="0" w:num="1">
            <w:col w:w="10420"/>
          </w:cols>
          <w:pgMar w:left="1440" w:top="959" w:right="44" w:bottom="0" w:gutter="0" w:footer="0" w:header="0"/>
        </w:sectPr>
      </w:pPr>
    </w:p>
    <w:bookmarkStart w:id="1" w:name="page2"/>
    <w:bookmarkEnd w:id="1"/>
    <w:p>
      <w:pPr>
        <w:jc w:val="right"/>
        <w:ind w:right="26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901700</wp:posOffset>
            </wp:positionH>
            <wp:positionV relativeFrom="page">
              <wp:posOffset>184150</wp:posOffset>
            </wp:positionV>
            <wp:extent cx="1149350" cy="1016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Nota de prensa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20" w:type="dxa"/>
            <w:vAlign w:val="bottom"/>
            <w:tcBorders>
              <w:top w:val="single" w:sz="8" w:color="8EAAD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8EAADB"/>
              <w:bottom w:val="single" w:sz="8" w:color="D9E2F3"/>
              <w:right w:val="single" w:sz="8" w:color="8EAADB"/>
            </w:tcBorders>
            <w:shd w:val="clear" w:color="auto" w:fill="D9E2F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Número de afiliados</w:t>
            </w:r>
          </w:p>
        </w:tc>
        <w:tc>
          <w:tcPr>
            <w:tcW w:w="980" w:type="dxa"/>
            <w:vAlign w:val="bottom"/>
            <w:tcBorders>
              <w:top w:val="single" w:sz="8" w:color="8EAADB"/>
              <w:bottom w:val="single" w:sz="8" w:color="D9E2F3"/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3399788</w:t>
            </w:r>
          </w:p>
        </w:tc>
        <w:tc>
          <w:tcPr>
            <w:tcW w:w="1000" w:type="dxa"/>
            <w:vAlign w:val="bottom"/>
            <w:tcBorders>
              <w:top w:val="single" w:sz="8" w:color="8EAADB"/>
              <w:bottom w:val="single" w:sz="8" w:color="D9E2F3"/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2598370</w:t>
            </w:r>
          </w:p>
        </w:tc>
        <w:tc>
          <w:tcPr>
            <w:tcW w:w="980" w:type="dxa"/>
            <w:vAlign w:val="bottom"/>
            <w:tcBorders>
              <w:top w:val="single" w:sz="8" w:color="8EAADB"/>
              <w:bottom w:val="single" w:sz="8" w:color="D9E2F3"/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315.280</w:t>
            </w:r>
          </w:p>
        </w:tc>
        <w:tc>
          <w:tcPr>
            <w:tcW w:w="940" w:type="dxa"/>
            <w:vAlign w:val="bottom"/>
            <w:tcBorders>
              <w:top w:val="single" w:sz="8" w:color="8EAADB"/>
              <w:bottom w:val="single" w:sz="8" w:color="D9E2F3"/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186432</w:t>
            </w:r>
          </w:p>
        </w:tc>
        <w:tc>
          <w:tcPr>
            <w:tcW w:w="1060" w:type="dxa"/>
            <w:vAlign w:val="bottom"/>
            <w:tcBorders>
              <w:top w:val="single" w:sz="8" w:color="8EAADB"/>
              <w:bottom w:val="single" w:sz="8" w:color="D9E2F3"/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299706</w:t>
            </w:r>
          </w:p>
        </w:tc>
        <w:tc>
          <w:tcPr>
            <w:tcW w:w="1000" w:type="dxa"/>
            <w:vAlign w:val="bottom"/>
            <w:tcBorders>
              <w:top w:val="single" w:sz="8" w:color="8EAADB"/>
              <w:bottom w:val="single" w:sz="8" w:color="D9E2F3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shd w:val="clear" w:color="auto" w:fill="D9E2F3"/>
              </w:rPr>
              <w:t>19006760</w:t>
            </w: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EAAD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8EAADB"/>
              <w:right w:val="single" w:sz="8" w:color="8EAADB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Variación interanual (%)</w:t>
            </w:r>
          </w:p>
        </w:tc>
        <w:tc>
          <w:tcPr>
            <w:tcW w:w="980" w:type="dxa"/>
            <w:vAlign w:val="bottom"/>
            <w:tcBorders>
              <w:top w:val="single" w:sz="8" w:color="8EAADB"/>
              <w:right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-0,3%</w:t>
            </w:r>
          </w:p>
        </w:tc>
        <w:tc>
          <w:tcPr>
            <w:tcW w:w="1000" w:type="dxa"/>
            <w:vAlign w:val="bottom"/>
            <w:tcBorders>
              <w:top w:val="single" w:sz="8" w:color="8EAADB"/>
              <w:right w:val="single" w:sz="8" w:color="8EAADB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-0,3%</w:t>
            </w:r>
          </w:p>
        </w:tc>
        <w:tc>
          <w:tcPr>
            <w:tcW w:w="980" w:type="dxa"/>
            <w:vAlign w:val="bottom"/>
            <w:tcBorders>
              <w:top w:val="single" w:sz="8" w:color="8EAADB"/>
              <w:right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-0,6%</w:t>
            </w:r>
          </w:p>
        </w:tc>
        <w:tc>
          <w:tcPr>
            <w:tcW w:w="940" w:type="dxa"/>
            <w:vAlign w:val="bottom"/>
            <w:tcBorders>
              <w:top w:val="single" w:sz="8" w:color="8EAADB"/>
              <w:right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-0,1%</w:t>
            </w:r>
          </w:p>
        </w:tc>
        <w:tc>
          <w:tcPr>
            <w:tcW w:w="1060" w:type="dxa"/>
            <w:vAlign w:val="bottom"/>
            <w:tcBorders>
              <w:top w:val="single" w:sz="8" w:color="8EAADB"/>
              <w:right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-0,3%</w:t>
            </w:r>
          </w:p>
        </w:tc>
        <w:tc>
          <w:tcPr>
            <w:tcW w:w="1000" w:type="dxa"/>
            <w:vAlign w:val="bottom"/>
            <w:tcBorders>
              <w:top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-0,2%</w:t>
            </w:r>
          </w:p>
        </w:tc>
      </w:tr>
      <w:tr>
        <w:trPr>
          <w:trHeight w:val="65"/>
        </w:trPr>
        <w:tc>
          <w:tcPr>
            <w:tcW w:w="2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8EAADB"/>
            </w:tcBorders>
            <w:shd w:val="clear" w:color="auto" w:fill="D9E2F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Variación interanual (número)</w:t>
            </w:r>
          </w:p>
        </w:tc>
        <w:tc>
          <w:tcPr>
            <w:tcW w:w="980" w:type="dxa"/>
            <w:vAlign w:val="bottom"/>
            <w:tcBorders>
              <w:right w:val="single" w:sz="8" w:color="D9E2F3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-10.719</w:t>
            </w:r>
          </w:p>
        </w:tc>
        <w:tc>
          <w:tcPr>
            <w:tcW w:w="1000" w:type="dxa"/>
            <w:vAlign w:val="bottom"/>
            <w:tcBorders>
              <w:right w:val="single" w:sz="8" w:color="D9E2F3"/>
            </w:tcBorders>
            <w:shd w:val="clear" w:color="auto" w:fill="D9E2F3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-7887</w:t>
            </w:r>
          </w:p>
        </w:tc>
        <w:tc>
          <w:tcPr>
            <w:tcW w:w="980" w:type="dxa"/>
            <w:vAlign w:val="bottom"/>
            <w:tcBorders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-1774</w:t>
            </w:r>
          </w:p>
        </w:tc>
        <w:tc>
          <w:tcPr>
            <w:tcW w:w="940" w:type="dxa"/>
            <w:vAlign w:val="bottom"/>
            <w:tcBorders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-94</w:t>
            </w:r>
          </w:p>
        </w:tc>
        <w:tc>
          <w:tcPr>
            <w:tcW w:w="1060" w:type="dxa"/>
            <w:vAlign w:val="bottom"/>
            <w:tcBorders>
              <w:right w:val="single" w:sz="8" w:color="D9E2F3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-964</w:t>
            </w:r>
          </w:p>
        </w:tc>
        <w:tc>
          <w:tcPr>
            <w:tcW w:w="1000" w:type="dxa"/>
            <w:vAlign w:val="bottom"/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-36.817</w:t>
            </w:r>
          </w:p>
        </w:tc>
      </w:tr>
      <w:tr>
        <w:trPr>
          <w:trHeight w:val="69"/>
        </w:trPr>
        <w:tc>
          <w:tcPr>
            <w:tcW w:w="2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8EAADB"/>
              <w:right w:val="single" w:sz="8" w:color="8EAADB"/>
            </w:tcBorders>
            <w:shd w:val="clear" w:color="auto" w:fill="D9E2F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  <w:right w:val="single" w:sz="8" w:color="D9E2F3"/>
            </w:tcBorders>
            <w:shd w:val="clear" w:color="auto" w:fill="D9E2F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EAADB"/>
              <w:right w:val="single" w:sz="8" w:color="D9E2F3"/>
            </w:tcBorders>
            <w:shd w:val="clear" w:color="auto" w:fill="D9E2F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  <w:right w:val="single" w:sz="8" w:color="8EAADB"/>
            </w:tcBorders>
            <w:shd w:val="clear" w:color="auto" w:fill="D9E2F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8EAADB"/>
              <w:right w:val="single" w:sz="8" w:color="8EAADB"/>
            </w:tcBorders>
            <w:shd w:val="clear" w:color="auto" w:fill="D9E2F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EAADB"/>
              <w:right w:val="single" w:sz="8" w:color="D9E2F3"/>
            </w:tcBorders>
            <w:shd w:val="clear" w:color="auto" w:fill="D9E2F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EAADB"/>
            </w:tcBorders>
            <w:shd w:val="clear" w:color="auto" w:fill="D9E2F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8EAADB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Variación intermensual (%)</w:t>
            </w:r>
          </w:p>
        </w:tc>
        <w:tc>
          <w:tcPr>
            <w:tcW w:w="980" w:type="dxa"/>
            <w:vAlign w:val="bottom"/>
            <w:tcBorders>
              <w:right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-1,2%</w:t>
            </w:r>
          </w:p>
        </w:tc>
        <w:tc>
          <w:tcPr>
            <w:tcW w:w="1000" w:type="dxa"/>
            <w:vAlign w:val="bottom"/>
            <w:tcBorders>
              <w:right w:val="single" w:sz="8" w:color="8EAADB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-1,3%</w:t>
            </w:r>
          </w:p>
        </w:tc>
        <w:tc>
          <w:tcPr>
            <w:tcW w:w="980" w:type="dxa"/>
            <w:vAlign w:val="bottom"/>
            <w:tcBorders>
              <w:right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-0,6%</w:t>
            </w:r>
          </w:p>
        </w:tc>
        <w:tc>
          <w:tcPr>
            <w:tcW w:w="940" w:type="dxa"/>
            <w:vAlign w:val="bottom"/>
            <w:tcBorders>
              <w:right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-1,5%</w:t>
            </w:r>
          </w:p>
        </w:tc>
        <w:tc>
          <w:tcPr>
            <w:tcW w:w="1060" w:type="dxa"/>
            <w:vAlign w:val="bottom"/>
            <w:tcBorders>
              <w:right w:val="single" w:sz="8" w:color="8EAADB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-0,7%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-1,3%</w:t>
            </w:r>
          </w:p>
        </w:tc>
      </w:tr>
      <w:tr>
        <w:trPr>
          <w:trHeight w:val="74"/>
        </w:trPr>
        <w:tc>
          <w:tcPr>
            <w:tcW w:w="2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EAADB"/>
              <w:right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8EAADB"/>
            </w:tcBorders>
            <w:shd w:val="clear" w:color="auto" w:fill="D9E2F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shd w:val="clear" w:color="auto" w:fill="D9E2F3"/>
              </w:rPr>
              <w:t>Variación intermensual (número)</w:t>
            </w:r>
          </w:p>
        </w:tc>
        <w:tc>
          <w:tcPr>
            <w:tcW w:w="980" w:type="dxa"/>
            <w:vAlign w:val="bottom"/>
            <w:tcBorders>
              <w:right w:val="single" w:sz="8" w:color="D9E2F3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-41.015</w:t>
            </w:r>
          </w:p>
        </w:tc>
        <w:tc>
          <w:tcPr>
            <w:tcW w:w="1000" w:type="dxa"/>
            <w:vAlign w:val="bottom"/>
            <w:tcBorders>
              <w:right w:val="single" w:sz="8" w:color="D9E2F3"/>
            </w:tcBorders>
            <w:shd w:val="clear" w:color="auto" w:fill="D9E2F3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-34.199</w:t>
            </w:r>
          </w:p>
        </w:tc>
        <w:tc>
          <w:tcPr>
            <w:tcW w:w="980" w:type="dxa"/>
            <w:vAlign w:val="bottom"/>
            <w:tcBorders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-1757</w:t>
            </w:r>
          </w:p>
        </w:tc>
        <w:tc>
          <w:tcPr>
            <w:tcW w:w="940" w:type="dxa"/>
            <w:vAlign w:val="bottom"/>
            <w:tcBorders>
              <w:right w:val="single" w:sz="8" w:color="8EAADB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-2826</w:t>
            </w:r>
          </w:p>
        </w:tc>
        <w:tc>
          <w:tcPr>
            <w:tcW w:w="1060" w:type="dxa"/>
            <w:vAlign w:val="bottom"/>
            <w:tcBorders>
              <w:right w:val="single" w:sz="8" w:color="D9E2F3"/>
            </w:tcBorders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-2233</w:t>
            </w:r>
          </w:p>
        </w:tc>
        <w:tc>
          <w:tcPr>
            <w:tcW w:w="1000" w:type="dxa"/>
            <w:vAlign w:val="bottom"/>
            <w:shd w:val="clear" w:color="auto" w:fill="D9E2F3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-243469</w:t>
            </w:r>
          </w:p>
        </w:tc>
      </w:tr>
      <w:tr>
        <w:trPr>
          <w:trHeight w:val="74"/>
        </w:trPr>
        <w:tc>
          <w:tcPr>
            <w:tcW w:w="20" w:type="dxa"/>
            <w:vAlign w:val="bottom"/>
            <w:tcBorders>
              <w:bottom w:val="single" w:sz="8" w:color="8EAAD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8EAADB"/>
              <w:right w:val="single" w:sz="8" w:color="8EAADB"/>
            </w:tcBorders>
            <w:shd w:val="clear" w:color="auto" w:fill="D9E2F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  <w:right w:val="single" w:sz="8" w:color="D9E2F3"/>
            </w:tcBorders>
            <w:shd w:val="clear" w:color="auto" w:fill="D9E2F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EAADB"/>
              <w:right w:val="single" w:sz="8" w:color="D9E2F3"/>
            </w:tcBorders>
            <w:shd w:val="clear" w:color="auto" w:fill="D9E2F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EAADB"/>
              <w:right w:val="single" w:sz="8" w:color="8EAADB"/>
            </w:tcBorders>
            <w:shd w:val="clear" w:color="auto" w:fill="D9E2F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8EAADB"/>
              <w:right w:val="single" w:sz="8" w:color="8EAADB"/>
            </w:tcBorders>
            <w:shd w:val="clear" w:color="auto" w:fill="D9E2F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EAADB"/>
              <w:right w:val="single" w:sz="8" w:color="D9E2F3"/>
            </w:tcBorders>
            <w:shd w:val="clear" w:color="auto" w:fill="D9E2F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EAADB"/>
            </w:tcBorders>
            <w:shd w:val="clear" w:color="auto" w:fill="D9E2F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Número de parados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Cataluña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Barcelona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Girona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Lleida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Tarragona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España</w:t>
            </w:r>
          </w:p>
        </w:tc>
      </w:tr>
      <w:tr>
        <w:trPr>
          <w:trHeight w:val="70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Agricultura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8.400</w:t>
            </w:r>
          </w:p>
        </w:tc>
        <w:tc>
          <w:tcPr>
            <w:tcW w:w="106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2.559</w:t>
            </w:r>
          </w:p>
        </w:tc>
        <w:tc>
          <w:tcPr>
            <w:tcW w:w="78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1.122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2.531</w:t>
            </w:r>
          </w:p>
        </w:tc>
        <w:tc>
          <w:tcPr>
            <w:tcW w:w="100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2.188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159420</w:t>
            </w:r>
          </w:p>
        </w:tc>
      </w:tr>
      <w:tr>
        <w:trPr>
          <w:trHeight w:val="257"/>
        </w:trPr>
        <w:tc>
          <w:tcPr>
            <w:tcW w:w="20" w:type="dxa"/>
            <w:vAlign w:val="bottom"/>
            <w:tcBorders>
              <w:top w:val="single" w:sz="8" w:color="F4B083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industria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45056</w:t>
            </w:r>
          </w:p>
        </w:tc>
        <w:tc>
          <w:tcPr>
            <w:tcW w:w="106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34499</w:t>
            </w:r>
          </w:p>
        </w:tc>
        <w:tc>
          <w:tcPr>
            <w:tcW w:w="78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3.841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2.037</w:t>
            </w:r>
          </w:p>
        </w:tc>
        <w:tc>
          <w:tcPr>
            <w:tcW w:w="100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4.679</w:t>
            </w:r>
          </w:p>
        </w:tc>
        <w:tc>
          <w:tcPr>
            <w:tcW w:w="1040" w:type="dxa"/>
            <w:vAlign w:val="bottom"/>
            <w:tcBorders>
              <w:top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300679</w:t>
            </w:r>
          </w:p>
        </w:tc>
      </w:tr>
      <w:tr>
        <w:trPr>
          <w:trHeight w:val="88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construcción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32.290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22803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3.318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1.716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4.453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319386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servicios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306358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225915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28868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14.247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37328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2502355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sin empleo</w:t>
            </w: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24.943</w:t>
            </w: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18663</w:t>
            </w: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2.130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1.285</w:t>
            </w: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2.865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266472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total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417047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304439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39279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21816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51513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3548312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Variación interanual (%)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Cataluña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Barcelona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Girona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Lleida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Tarragona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España</w:t>
            </w:r>
          </w:p>
        </w:tc>
      </w:tr>
      <w:tr>
        <w:trPr>
          <w:trHeight w:val="60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Agricultura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-7,4%</w:t>
            </w:r>
          </w:p>
        </w:tc>
        <w:tc>
          <w:tcPr>
            <w:tcW w:w="106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-6,3%</w:t>
            </w:r>
          </w:p>
        </w:tc>
        <w:tc>
          <w:tcPr>
            <w:tcW w:w="78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-6,3%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-9,4%</w:t>
            </w:r>
          </w:p>
        </w:tc>
        <w:tc>
          <w:tcPr>
            <w:tcW w:w="100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-6,7%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2,7%</w:t>
            </w: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F4B083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industria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3,2%</w:t>
            </w:r>
          </w:p>
        </w:tc>
        <w:tc>
          <w:tcPr>
            <w:tcW w:w="106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2,8%</w:t>
            </w:r>
          </w:p>
        </w:tc>
        <w:tc>
          <w:tcPr>
            <w:tcW w:w="78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4,5%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6,3%</w:t>
            </w:r>
          </w:p>
        </w:tc>
        <w:tc>
          <w:tcPr>
            <w:tcW w:w="100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3,5%</w:t>
            </w:r>
          </w:p>
        </w:tc>
        <w:tc>
          <w:tcPr>
            <w:tcW w:w="1040" w:type="dxa"/>
            <w:vAlign w:val="bottom"/>
            <w:tcBorders>
              <w:top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7,8%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construcción</w:t>
            </w: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5,1%</w:t>
            </w: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4,6%</w:t>
            </w: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0,6%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6,5%</w:t>
            </w: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10,7%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22,1%</w:t>
            </w:r>
          </w:p>
        </w:tc>
      </w:tr>
      <w:tr>
        <w:trPr>
          <w:trHeight w:val="93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servicios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7,8%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8,2%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4,8%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5,4%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8,6%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9,9%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sin empleo</w:t>
            </w: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-11,0%</w:t>
            </w: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-10,2%</w:t>
            </w: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-12,3%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-16,3%</w:t>
            </w: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-12,3%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-5,7%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total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5,4%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5,8%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3,0%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2,1%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6,2%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9,0%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-6,2%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Variación interanual (número)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Cataluña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Barcelona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Girona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Lleida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Tarragona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España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Agricultura</w:t>
            </w: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-668</w:t>
            </w: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-173</w:t>
            </w: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-75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-262</w:t>
            </w: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-158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4.122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industria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1.400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954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167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121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21651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construcción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1.560</w:t>
            </w:r>
          </w:p>
        </w:tc>
        <w:tc>
          <w:tcPr>
            <w:tcW w:w="106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1.003</w:t>
            </w:r>
          </w:p>
        </w:tc>
        <w:tc>
          <w:tcPr>
            <w:tcW w:w="78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105</w:t>
            </w:r>
          </w:p>
        </w:tc>
        <w:tc>
          <w:tcPr>
            <w:tcW w:w="100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432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57805</w:t>
            </w: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F4B08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servicios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22091</w:t>
            </w:r>
          </w:p>
        </w:tc>
        <w:tc>
          <w:tcPr>
            <w:tcW w:w="106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17.066</w:t>
            </w:r>
          </w:p>
        </w:tc>
        <w:tc>
          <w:tcPr>
            <w:tcW w:w="78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1.322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734</w:t>
            </w:r>
          </w:p>
        </w:tc>
        <w:tc>
          <w:tcPr>
            <w:tcW w:w="100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2.969</w:t>
            </w:r>
          </w:p>
        </w:tc>
        <w:tc>
          <w:tcPr>
            <w:tcW w:w="1040" w:type="dxa"/>
            <w:vAlign w:val="bottom"/>
            <w:tcBorders>
              <w:top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225722</w:t>
            </w:r>
          </w:p>
        </w:tc>
      </w:tr>
      <w:tr>
        <w:trPr>
          <w:trHeight w:val="93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sin empleo</w:t>
            </w: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-3076</w:t>
            </w: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-2125</w:t>
            </w: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-299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-250</w:t>
            </w: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-402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-16.072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total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21307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16.725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1.135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448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2.999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293228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Variación intermensual (%)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Cataluña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Barcelona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Girona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Lleida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Tarragona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España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Agricultura</w:t>
            </w: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0,8%</w:t>
            </w: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-0,3%</w:t>
            </w: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0,4%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1,0%</w:t>
            </w: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1,9%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4,3%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industria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3,2%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2,6%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3,8%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2,6%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7,0%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9,1%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construcción</w:t>
            </w: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8,6%</w:t>
            </w: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7,9%</w:t>
            </w: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6,1%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8,5%</w:t>
            </w: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14,3%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22,9%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servicios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6,1%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6,6%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3,6%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4,4%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5,7%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9,0%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sin empleo</w:t>
            </w:r>
          </w:p>
        </w:tc>
        <w:tc>
          <w:tcPr>
            <w:tcW w:w="104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0,9%</w:t>
            </w:r>
          </w:p>
        </w:tc>
        <w:tc>
          <w:tcPr>
            <w:tcW w:w="106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0,9%</w:t>
            </w:r>
          </w:p>
        </w:tc>
        <w:tc>
          <w:tcPr>
            <w:tcW w:w="78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1,9%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-0,8%</w:t>
            </w:r>
          </w:p>
        </w:tc>
        <w:tc>
          <w:tcPr>
            <w:tcW w:w="1000" w:type="dxa"/>
            <w:vAlign w:val="bottom"/>
            <w:tcBorders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0,7%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1,9%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total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5,5%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5,8%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3,6%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3,8%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6,1%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9,3%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BE4D5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Variación intermensual (número)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Cataluña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Barcelona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Girona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Lleida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Tarragona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España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Agricultura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</w:t>
            </w:r>
          </w:p>
        </w:tc>
        <w:tc>
          <w:tcPr>
            <w:tcW w:w="106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-8</w:t>
            </w:r>
          </w:p>
        </w:tc>
        <w:tc>
          <w:tcPr>
            <w:tcW w:w="78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26</w:t>
            </w:r>
          </w:p>
        </w:tc>
        <w:tc>
          <w:tcPr>
            <w:tcW w:w="100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41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6.520</w:t>
            </w:r>
          </w:p>
        </w:tc>
      </w:tr>
      <w:tr>
        <w:trPr>
          <w:trHeight w:val="20"/>
        </w:trPr>
        <w:tc>
          <w:tcPr>
            <w:tcW w:w="20" w:type="dxa"/>
            <w:vAlign w:val="bottom"/>
            <w:shd w:val="clear" w:color="auto" w:fill="F4B08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4B08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4B08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  <w:shd w:val="clear" w:color="auto" w:fill="F4B08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  <w:shd w:val="clear" w:color="auto" w:fill="F4B08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4B08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  <w:shd w:val="clear" w:color="auto" w:fill="F4B08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F4B08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Departamento de Comunicación</w:t>
      </w:r>
    </w:p>
    <w:p>
      <w:pPr>
        <w:ind w:left="260"/>
        <w:spacing w:after="0"/>
        <w:rPr>
          <w:rFonts w:ascii="Arial" w:cs="Arial" w:eastAsia="Arial" w:hAnsi="Arial"/>
          <w:sz w:val="18"/>
          <w:szCs w:val="18"/>
          <w:u w:val="single" w:color="auto"/>
          <w:color w:val="E36C0A"/>
        </w:rPr>
      </w:pPr>
      <w:hyperlink r:id="rId9">
        <w:r>
          <w:rPr>
            <w:rFonts w:ascii="Arial" w:cs="Arial" w:eastAsia="Arial" w:hAnsi="Arial"/>
            <w:sz w:val="18"/>
            <w:szCs w:val="18"/>
            <w:u w:val="single" w:color="auto"/>
            <w:color w:val="E36C0A"/>
          </w:rPr>
          <w:t>premsa@pimec.org</w:t>
        </w:r>
      </w:hyperlink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93 496 45 11</w:t>
      </w:r>
    </w:p>
    <w:p>
      <w:pPr>
        <w:sectPr>
          <w:pgSz w:w="11900" w:h="16838" w:orient="portrait"/>
          <w:cols w:equalWidth="0" w:num="1">
            <w:col w:w="9024"/>
          </w:cols>
          <w:pgMar w:left="1440" w:top="959" w:right="1440" w:bottom="0" w:gutter="0" w:footer="0" w:header="0"/>
        </w:sectPr>
      </w:pPr>
    </w:p>
    <w:bookmarkStart w:id="2" w:name="page3"/>
    <w:bookmarkEnd w:id="2"/>
    <w:p>
      <w:pPr>
        <w:jc w:val="right"/>
        <w:ind w:right="26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901700</wp:posOffset>
            </wp:positionH>
            <wp:positionV relativeFrom="page">
              <wp:posOffset>184150</wp:posOffset>
            </wp:positionV>
            <wp:extent cx="1149350" cy="1016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Nota de prensa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20" w:type="dxa"/>
            <w:vAlign w:val="bottom"/>
            <w:tcBorders>
              <w:top w:val="single" w:sz="8" w:color="F4B08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industria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1.377</w:t>
            </w:r>
          </w:p>
        </w:tc>
        <w:tc>
          <w:tcPr>
            <w:tcW w:w="106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876</w:t>
            </w:r>
          </w:p>
        </w:tc>
        <w:tc>
          <w:tcPr>
            <w:tcW w:w="78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142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52</w:t>
            </w:r>
          </w:p>
        </w:tc>
        <w:tc>
          <w:tcPr>
            <w:tcW w:w="100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307</w:t>
            </w:r>
          </w:p>
        </w:tc>
        <w:tc>
          <w:tcPr>
            <w:tcW w:w="1040" w:type="dxa"/>
            <w:vAlign w:val="bottom"/>
            <w:tcBorders>
              <w:top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25194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construcción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2.552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1.669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192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135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556</w:t>
            </w:r>
          </w:p>
        </w:tc>
        <w:tc>
          <w:tcPr>
            <w:tcW w:w="1040" w:type="dxa"/>
            <w:vAlign w:val="bottom"/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59551</w:t>
            </w:r>
          </w:p>
        </w:tc>
      </w:tr>
      <w:tr>
        <w:trPr>
          <w:trHeight w:val="65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  <w:shd w:val="clear" w:color="auto" w:fill="FBE4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servicios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17.620</w:t>
            </w:r>
          </w:p>
        </w:tc>
        <w:tc>
          <w:tcPr>
            <w:tcW w:w="106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14.002</w:t>
            </w:r>
          </w:p>
        </w:tc>
        <w:tc>
          <w:tcPr>
            <w:tcW w:w="78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998</w:t>
            </w:r>
          </w:p>
        </w:tc>
        <w:tc>
          <w:tcPr>
            <w:tcW w:w="104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598</w:t>
            </w:r>
          </w:p>
        </w:tc>
        <w:tc>
          <w:tcPr>
            <w:tcW w:w="1000" w:type="dxa"/>
            <w:vAlign w:val="bottom"/>
            <w:tcBorders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2.022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206016</w:t>
            </w:r>
          </w:p>
        </w:tc>
      </w:tr>
      <w:tr>
        <w:trPr>
          <w:trHeight w:val="59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sin empleo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220</w:t>
            </w:r>
          </w:p>
        </w:tc>
        <w:tc>
          <w:tcPr>
            <w:tcW w:w="106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169</w:t>
            </w:r>
          </w:p>
        </w:tc>
        <w:tc>
          <w:tcPr>
            <w:tcW w:w="78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  <w:right w:val="single" w:sz="8" w:color="F4B083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-10</w:t>
            </w:r>
          </w:p>
        </w:tc>
        <w:tc>
          <w:tcPr>
            <w:tcW w:w="1000" w:type="dxa"/>
            <w:vAlign w:val="bottom"/>
            <w:tcBorders>
              <w:bottom w:val="single" w:sz="8" w:color="FBE4D5"/>
              <w:right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</w:t>
            </w:r>
          </w:p>
        </w:tc>
        <w:tc>
          <w:tcPr>
            <w:tcW w:w="1040" w:type="dxa"/>
            <w:vAlign w:val="bottom"/>
            <w:tcBorders>
              <w:bottom w:val="single" w:sz="8" w:color="FBE4D5"/>
            </w:tcBorders>
            <w:shd w:val="clear" w:color="auto" w:fill="FBE4D5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4.984</w:t>
            </w: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F4B083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total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21833</w:t>
            </w:r>
          </w:p>
        </w:tc>
        <w:tc>
          <w:tcPr>
            <w:tcW w:w="106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16.708</w:t>
            </w:r>
          </w:p>
        </w:tc>
        <w:tc>
          <w:tcPr>
            <w:tcW w:w="78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1.377</w:t>
            </w:r>
          </w:p>
        </w:tc>
        <w:tc>
          <w:tcPr>
            <w:tcW w:w="104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801</w:t>
            </w:r>
          </w:p>
        </w:tc>
        <w:tc>
          <w:tcPr>
            <w:tcW w:w="1000" w:type="dxa"/>
            <w:vAlign w:val="bottom"/>
            <w:tcBorders>
              <w:top w:val="single" w:sz="8" w:color="F4B083"/>
              <w:right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2.947</w:t>
            </w:r>
          </w:p>
        </w:tc>
        <w:tc>
          <w:tcPr>
            <w:tcW w:w="1040" w:type="dxa"/>
            <w:vAlign w:val="bottom"/>
            <w:tcBorders>
              <w:top w:val="single" w:sz="8" w:color="F4B083"/>
            </w:tcBorders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302265</w:t>
            </w:r>
          </w:p>
        </w:tc>
      </w:tr>
      <w:tr>
        <w:trPr>
          <w:trHeight w:val="64"/>
        </w:trPr>
        <w:tc>
          <w:tcPr>
            <w:tcW w:w="2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4B083"/>
              <w:right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4B08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Departamento de Comunicación</w:t>
      </w:r>
    </w:p>
    <w:p>
      <w:pPr>
        <w:ind w:left="260"/>
        <w:spacing w:after="0"/>
        <w:rPr>
          <w:rFonts w:ascii="Arial" w:cs="Arial" w:eastAsia="Arial" w:hAnsi="Arial"/>
          <w:sz w:val="18"/>
          <w:szCs w:val="18"/>
          <w:u w:val="single" w:color="auto"/>
          <w:color w:val="E36C0A"/>
        </w:rPr>
      </w:pPr>
      <w:hyperlink r:id="rId9">
        <w:r>
          <w:rPr>
            <w:rFonts w:ascii="Arial" w:cs="Arial" w:eastAsia="Arial" w:hAnsi="Arial"/>
            <w:sz w:val="18"/>
            <w:szCs w:val="18"/>
            <w:u w:val="single" w:color="auto"/>
            <w:color w:val="E36C0A"/>
          </w:rPr>
          <w:t>premsa@pimec.org</w:t>
        </w:r>
      </w:hyperlink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93 496 45 11</w:t>
      </w:r>
    </w:p>
    <w:sectPr>
      <w:pgSz w:w="11900" w:h="16838" w:orient="portrait"/>
      <w:cols w:equalWidth="0" w:num="1">
        <w:col w:w="9024"/>
      </w:cols>
      <w:pgMar w:left="1440" w:top="959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"/>
      <w:numFmt w:val="low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9" Type="http://schemas.openxmlformats.org/officeDocument/2006/relationships/hyperlink" Target="mailto:premsa@pimec.org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2020-04-02T12:55:26Z</dcterms:created>
  <dcterms:modified xsi:type="dcterms:W3CDTF">2020-04-02T12:55:26Z</dcterms:modified>
</cp:coreProperties>
</file>